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71B7" w14:textId="5ACCE977" w:rsidR="006B740B" w:rsidRPr="0057786E" w:rsidRDefault="00E04579" w:rsidP="0057786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B740B" w:rsidRPr="0057786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6B740B" w:rsidRPr="0057786E">
        <w:rPr>
          <w:rFonts w:ascii="Times New Roman" w:eastAsia="Times New Roman" w:hAnsi="Times New Roman" w:cs="Times New Roman"/>
          <w:b/>
          <w:sz w:val="24"/>
          <w:szCs w:val="24"/>
        </w:rPr>
        <w:t xml:space="preserve"> Обоснование принятой методики прогноза технологических показателей разработки</w:t>
      </w:r>
    </w:p>
    <w:p w14:paraId="0E2182FA" w14:textId="77777777" w:rsidR="006B740B" w:rsidRPr="0057786E" w:rsidRDefault="006B740B" w:rsidP="0057786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 основу расчетной модели, принятой для прогноза показателей разработки, положена схема слоисто- и зонально-неоднородного пласта – коллектора с использованием методики института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ТатНИПИнефть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Согласно этой модели, продуктивный пласт состоит из зон различной продуктивности с линейными размерами d, а каждая зона представлена из набора слоев различной проницаемости. Изменение проницаемости по слоям и зонам имеет вероятностный характер.</w:t>
      </w:r>
    </w:p>
    <w:p w14:paraId="36AA7049" w14:textId="77777777" w:rsidR="006B740B" w:rsidRPr="0057786E" w:rsidRDefault="006B740B" w:rsidP="0057786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геологической характеристикой пласта, модель учитывает и физические факторы, такие как: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двухфазность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потока, различие вязкостей нефти и закачиваемого агента, явление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языкообразования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С учетом зональной неоднородности между элементами рассчитывают динамику добычи нефти при заданных условиях.  Расчетная модель позволяет определять технологические показатели разработки, как для режима истощения, так и для этапа поддержания пластового давления путем закачки воды и газа в пласт с учетом порядка и темпа разбуривания и ввода скважин в эксплуатацию, фактической плотности сетки скважин, режимов эксплуатации скважин.</w:t>
      </w:r>
    </w:p>
    <w:p w14:paraId="43A27497" w14:textId="77777777" w:rsidR="006B740B" w:rsidRPr="0057786E" w:rsidRDefault="006B740B" w:rsidP="0057786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коэффициента извлечения нефти применялась апробированная в Республике Казахстан коэффициентная методика (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ТатНИПИнефть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соответствующая действующим инструкциям.</w:t>
      </w:r>
    </w:p>
    <w:p w14:paraId="4A5F970D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всех рассматриваемых вариантов разработки продуктивных горизонтов месторождения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Уаз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 коэффициента извлечения нефти проводился по формуле:</w:t>
      </w:r>
    </w:p>
    <w:p w14:paraId="5032B187" w14:textId="6BBF898E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740A974E" wp14:editId="555B7715">
            <wp:extent cx="1314450" cy="2190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</w:t>
      </w:r>
      <w:r w:rsidR="00E0457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.1)</w:t>
      </w:r>
    </w:p>
    <w:p w14:paraId="43D15FC9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 К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охвата сеткой скважин, показывающий долю дренируемого объема нефтяных залежей при данной сетке размещения скважин;</w:t>
      </w:r>
    </w:p>
    <w:p w14:paraId="52547065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вытеснения нефти;</w:t>
      </w:r>
    </w:p>
    <w:p w14:paraId="0C68AC62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заводнения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показывающий долю извлечения подвижных запасов.</w:t>
      </w:r>
    </w:p>
    <w:p w14:paraId="26A9EF57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расчета составляющих коэффициента охвата сеткой скважин использовались следующие формулы:</w:t>
      </w:r>
    </w:p>
    <w:p w14:paraId="604F97DF" w14:textId="37F36455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К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7786E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’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× К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7786E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’’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gram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.2)</w:t>
      </w:r>
    </w:p>
    <w:p w14:paraId="688239D9" w14:textId="019A57E0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noProof/>
          <w:position w:val="-36"/>
          <w:sz w:val="24"/>
          <w:szCs w:val="24"/>
          <w:lang w:eastAsia="ru-RU"/>
        </w:rPr>
        <w:drawing>
          <wp:inline distT="0" distB="0" distL="0" distR="0" wp14:anchorId="30F44243" wp14:editId="259ED1D1">
            <wp:extent cx="1095375" cy="57150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proofErr w:type="gram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.3)</w:t>
      </w:r>
    </w:p>
    <w:p w14:paraId="66F232FD" w14:textId="48419A4E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drawing>
          <wp:inline distT="0" distB="0" distL="0" distR="0" wp14:anchorId="58E411B8" wp14:editId="4088B508">
            <wp:extent cx="1590675" cy="485775"/>
            <wp:effectExtent l="0" t="0" r="9525" b="9525"/>
            <wp:docPr id="3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gram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.4)</w:t>
      </w:r>
    </w:p>
    <w:p w14:paraId="749B0918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этих формулах 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I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показывающий возможную долю разбуривания 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ввода в промышленную разработку разведанных геологических запасов нефти водонефтяных зон. Часть геологических запасов нефти этих пластов с нефтяной мощностью меньше некоторой минимальной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proofErr w:type="gramStart"/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н.мин</w:t>
      </w:r>
      <w:proofErr w:type="spellEnd"/>
      <w:proofErr w:type="gram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чнз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установленной по соображениям экономического характера, не будет разбурена и введена в разработку:</w:t>
      </w:r>
    </w:p>
    <w:p w14:paraId="7AB8E137" w14:textId="65540450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28"/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proofErr w:type="gramStart"/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н.мин</w:t>
      </w:r>
      <w:proofErr w:type="spellEnd"/>
      <w:proofErr w:type="gram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чнз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29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1/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5B"/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1+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28"/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/(1-А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29"/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D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D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∙ 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7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7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5D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.5)</w:t>
      </w:r>
    </w:p>
    <w:p w14:paraId="21A4F2CB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 А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/(1-А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предельный максимально допустимый весовой водонефтяной фактор;</w:t>
      </w:r>
    </w:p>
    <w:p w14:paraId="50031A4E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предельная весовая обводненность добываемой продукции, при которой наступает экономический предел рентабельности процесса добычи нефти. Данный параметр зависит от значительного ряда как технологических, так и экономических факторов, таких как: дебиты скважин, глубина залегания продуктивных пластов, предельная себестоимость и цена реализации добываемой нефти. В связи с этим, предельная обводненность добываемой продукции в расчетах для месторождения взята по литературным данным, аналогично предельной обводненности, применяемой при определении вовлеченных в разработку извлекаемых запасов в методиках Сазонова Б.Ф.,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Камбарова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Г.С., Максимова М.М. и Назарова-Сипачева, равной 98%;</w:t>
      </w:r>
    </w:p>
    <w:p w14:paraId="221503E5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D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D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соотношение вязкостей воды и нефти в пластовых условиях;</w:t>
      </w:r>
    </w:p>
    <w:p w14:paraId="1B432EB4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7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67"/>
      </w:r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соотношение удельных весов вытесняемой нефти и вытесняющей воды в пластовых условиях.</w:t>
      </w:r>
    </w:p>
    <w:p w14:paraId="7B635FF1" w14:textId="77777777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Минимальная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нефтенасыщенная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толщина для размещения проектных скважин (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proofErr w:type="gramStart"/>
      <w:r w:rsidRPr="0057786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н.мин</w:t>
      </w:r>
      <w:proofErr w:type="spellEnd"/>
      <w:proofErr w:type="gram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определялась по формуле:</w:t>
      </w:r>
    </w:p>
    <w:p w14:paraId="2E64955E" w14:textId="77777777" w:rsidR="006B740B" w:rsidRPr="0057786E" w:rsidRDefault="006634D6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080" w:dyaOrig="1077" w14:anchorId="1067C0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79.2pt;margin-top:12.3pt;width:273.25pt;height:22pt;z-index:251659264" fillcolor="window">
            <v:imagedata r:id="rId9" o:title=""/>
          </v:shape>
          <o:OLEObject Type="Embed" ProgID="Equation.3" ShapeID="_x0000_s1030" DrawAspect="Content" ObjectID="_1791966129" r:id="rId10"/>
        </w:object>
      </w:r>
    </w:p>
    <w:p w14:paraId="63C2F184" w14:textId="2E9CB8B6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.6)</w:t>
      </w:r>
    </w:p>
    <w:p w14:paraId="48B841E6" w14:textId="4D6A3DD2" w:rsidR="006B740B" w:rsidRPr="0057786E" w:rsidRDefault="006B740B" w:rsidP="0057786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расчета минимальной </w:t>
      </w:r>
      <w:proofErr w:type="spellStart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нефтенасыщенной</w:t>
      </w:r>
      <w:proofErr w:type="spellEnd"/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толщины для размещения скважин представлены в таблице </w:t>
      </w:r>
      <w:r w:rsidR="00E0457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</w:p>
    <w:p w14:paraId="2195A362" w14:textId="2AAA48B4" w:rsidR="006B740B" w:rsidRPr="0057786E" w:rsidRDefault="006B740B" w:rsidP="00E0457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778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Таблица </w:t>
      </w:r>
      <w:r w:rsidR="00E0457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</w:t>
      </w:r>
      <w:r w:rsidRPr="005778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  <w:r w:rsidR="00E0457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5778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.1</w:t>
      </w:r>
      <w:r w:rsidR="0057786E" w:rsidRPr="005778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- </w:t>
      </w:r>
      <w:r w:rsidRPr="005778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Расчет минимальной </w:t>
      </w:r>
      <w:proofErr w:type="spellStart"/>
      <w:r w:rsidRPr="005778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нефтенасыщенной</w:t>
      </w:r>
      <w:proofErr w:type="spellEnd"/>
      <w:r w:rsidRPr="0057786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толщины для размещения скважин</w:t>
      </w:r>
    </w:p>
    <w:tbl>
      <w:tblPr>
        <w:tblW w:w="932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37"/>
        <w:gridCol w:w="818"/>
        <w:gridCol w:w="895"/>
        <w:gridCol w:w="978"/>
        <w:gridCol w:w="936"/>
        <w:gridCol w:w="861"/>
      </w:tblGrid>
      <w:tr w:rsidR="00870BF7" w:rsidRPr="0057786E" w14:paraId="3DD926EA" w14:textId="77777777" w:rsidTr="00E04579">
        <w:trPr>
          <w:trHeight w:val="20"/>
        </w:trPr>
        <w:tc>
          <w:tcPr>
            <w:tcW w:w="4837" w:type="dxa"/>
            <w:vMerge w:val="restart"/>
            <w:shd w:val="clear" w:color="auto" w:fill="auto"/>
            <w:noWrap/>
            <w:vAlign w:val="center"/>
            <w:hideMark/>
          </w:tcPr>
          <w:p w14:paraId="0B5C33F0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4488" w:type="dxa"/>
            <w:gridSpan w:val="5"/>
            <w:shd w:val="clear" w:color="auto" w:fill="auto"/>
            <w:noWrap/>
            <w:vAlign w:val="center"/>
            <w:hideMark/>
          </w:tcPr>
          <w:p w14:paraId="6B412945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</w:t>
            </w:r>
          </w:p>
        </w:tc>
      </w:tr>
      <w:tr w:rsidR="00870BF7" w:rsidRPr="0057786E" w14:paraId="0B91674B" w14:textId="77777777" w:rsidTr="00E04579">
        <w:trPr>
          <w:trHeight w:val="20"/>
        </w:trPr>
        <w:tc>
          <w:tcPr>
            <w:tcW w:w="4837" w:type="dxa"/>
            <w:vMerge/>
            <w:vAlign w:val="center"/>
            <w:hideMark/>
          </w:tcPr>
          <w:p w14:paraId="4EB6B9BF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300ACF3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BF7DAF0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978" w:type="dxa"/>
            <w:shd w:val="clear" w:color="auto" w:fill="auto"/>
            <w:vAlign w:val="center"/>
            <w:hideMark/>
          </w:tcPr>
          <w:p w14:paraId="4E972245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14:paraId="170A9F4A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B-II</w:t>
            </w:r>
          </w:p>
        </w:tc>
        <w:tc>
          <w:tcPr>
            <w:tcW w:w="861" w:type="dxa"/>
            <w:shd w:val="clear" w:color="auto" w:fill="auto"/>
            <w:vAlign w:val="center"/>
            <w:hideMark/>
          </w:tcPr>
          <w:p w14:paraId="0D8D94C8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B-III</w:t>
            </w:r>
          </w:p>
        </w:tc>
      </w:tr>
      <w:tr w:rsidR="00870BF7" w:rsidRPr="0057786E" w14:paraId="183F2945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64346948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Средняя </w:t>
            </w:r>
            <w:proofErr w:type="spellStart"/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нефтенасыщенная</w:t>
            </w:r>
            <w:proofErr w:type="spellEnd"/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толщина ВНЗ, м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9B7E278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E780457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D4B42EA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B52E585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63C0958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870BF7" w:rsidRPr="0057786E" w14:paraId="65D2EEB1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4A1F0DAA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Предельная обводненность продукции, доли ед.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45C052E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93F880E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155372D4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D68FEAA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7FFE9CD1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</w:tr>
      <w:tr w:rsidR="00870BF7" w:rsidRPr="0057786E" w14:paraId="1B2FA30B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681BE460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Вязкость нефти в пластовых условиях, мПа*с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1151C2E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1E6DA5D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05410D4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4167658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CC70C4D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</w:t>
            </w:r>
          </w:p>
        </w:tc>
      </w:tr>
      <w:tr w:rsidR="00870BF7" w:rsidRPr="0057786E" w14:paraId="718E76BC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0D8E91E6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Вязкость воды в пластовых условиях, мПа*с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17FE12C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1EE2CCE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793989D0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F68EC7F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67458865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870BF7" w:rsidRPr="0057786E" w14:paraId="2BD40B03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016E07A8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нефти в поверхностных условиях, г/см</w:t>
            </w: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5286729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A0A7367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DF9FDD2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A8B6577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0C04997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0,897</w:t>
            </w:r>
          </w:p>
        </w:tc>
      </w:tr>
      <w:tr w:rsidR="00870BF7" w:rsidRPr="0057786E" w14:paraId="0299F694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00B72DD0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воды в поверхностных условиях, г/см</w:t>
            </w: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E652F20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ACD98B2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1,149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1C67C13E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36D17C7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1B36063C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1,088</w:t>
            </w:r>
          </w:p>
        </w:tc>
      </w:tr>
      <w:tr w:rsidR="00870BF7" w:rsidRPr="0057786E" w14:paraId="08637185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679549E1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Объемный коэффициент, доли ед.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5402CD5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A04CE07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5560DCE6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0075526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45A545E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870BF7" w:rsidRPr="0057786E" w14:paraId="121F15D0" w14:textId="77777777" w:rsidTr="00E04579">
        <w:trPr>
          <w:trHeight w:val="20"/>
        </w:trPr>
        <w:tc>
          <w:tcPr>
            <w:tcW w:w="4837" w:type="dxa"/>
            <w:shd w:val="clear" w:color="auto" w:fill="auto"/>
            <w:vAlign w:val="center"/>
            <w:hideMark/>
          </w:tcPr>
          <w:p w14:paraId="6A06B47C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Минимальная </w:t>
            </w:r>
            <w:proofErr w:type="spellStart"/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нефтенасыщенная</w:t>
            </w:r>
            <w:proofErr w:type="spellEnd"/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толщина для размещения скважин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E46E997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17C18F4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0D60CFA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EBC9F79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53EB7D4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70BF7" w:rsidRPr="0057786E" w14:paraId="1AA96787" w14:textId="77777777" w:rsidTr="00E04579">
        <w:trPr>
          <w:trHeight w:val="20"/>
        </w:trPr>
        <w:tc>
          <w:tcPr>
            <w:tcW w:w="4837" w:type="dxa"/>
            <w:shd w:val="clear" w:color="auto" w:fill="auto"/>
            <w:noWrap/>
            <w:vAlign w:val="center"/>
            <w:hideMark/>
          </w:tcPr>
          <w:p w14:paraId="4D947F37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вытеснения, К2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4E132BA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0,638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E63E9ED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0,638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A121991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36B9BCD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0,638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244F64B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0,638</w:t>
            </w:r>
          </w:p>
        </w:tc>
      </w:tr>
      <w:tr w:rsidR="00870BF7" w:rsidRPr="0057786E" w14:paraId="30702310" w14:textId="77777777" w:rsidTr="00E04579">
        <w:trPr>
          <w:trHeight w:val="20"/>
        </w:trPr>
        <w:tc>
          <w:tcPr>
            <w:tcW w:w="4837" w:type="dxa"/>
            <w:shd w:val="clear" w:color="auto" w:fill="auto"/>
            <w:vAlign w:val="center"/>
            <w:hideMark/>
          </w:tcPr>
          <w:p w14:paraId="6FF55612" w14:textId="77777777" w:rsidR="00870BF7" w:rsidRPr="0057786E" w:rsidRDefault="00870BF7" w:rsidP="00870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Соотношение подвижностей вытесняющего агента и нефти в пластовых условиях, µ</w:t>
            </w: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*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1F3DAF0" w14:textId="7CC05ACF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3230054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42,654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20D079DF" w14:textId="20254729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8E03474" w14:textId="77777777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34,959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C493B2E" w14:textId="5127C3BD" w:rsidR="00870BF7" w:rsidRPr="0057786E" w:rsidRDefault="00870BF7" w:rsidP="00870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7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34,95</w:t>
            </w:r>
          </w:p>
        </w:tc>
      </w:tr>
    </w:tbl>
    <w:p w14:paraId="675CB324" w14:textId="77777777" w:rsidR="00870BF7" w:rsidRDefault="00870BF7" w:rsidP="006B74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14:paraId="067F6477" w14:textId="77777777" w:rsidR="006B740B" w:rsidRPr="007607C8" w:rsidRDefault="006B740B" w:rsidP="007607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Расчет технологических показателей осуществлялся на период до достижения 98% обводненности продукции скважины.</w:t>
      </w:r>
    </w:p>
    <w:p w14:paraId="603DE3D3" w14:textId="77777777" w:rsidR="006B740B" w:rsidRPr="007607C8" w:rsidRDefault="006B740B" w:rsidP="007607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II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дренирования нефтяных пластов при данной сетке размещения нагнетательных и добывающих скважин, учитывающий хаотическую прерывистость продуктивных пластов;</w:t>
      </w:r>
    </w:p>
    <w:p w14:paraId="4159F124" w14:textId="77777777" w:rsidR="006B740B" w:rsidRPr="007607C8" w:rsidRDefault="006B740B" w:rsidP="007607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p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эксплуатационных рядов, находящихся в полосе между двумя нагнетательными рядами. Данный параметр применяется при рядной системе размещения скважин и, в связи с разработкой месторождения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Уаз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ППД путем внутриконтурного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заводнения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применения рядной системы, данный параметр принят равным 1.</w:t>
      </w:r>
    </w:p>
    <w:p w14:paraId="3284C39A" w14:textId="4FA2C955" w:rsidR="006B740B" w:rsidRPr="007607C8" w:rsidRDefault="006B740B" w:rsidP="007607C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доля общей площади продуктивного пласта, занятой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неколлектором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взаимном совершенно хаотическом размещении зон пласта-коллектора и пласта-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неколлектора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Результаты определения доли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неколлектора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эксплуатационным объектам представлены в таблице </w:t>
      </w:r>
      <w:r w:rsidR="00E04579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</w:p>
    <w:p w14:paraId="3312956D" w14:textId="77777777" w:rsidR="002A0BFB" w:rsidRPr="006B740B" w:rsidRDefault="002A0BFB" w:rsidP="00743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723D85" w14:textId="3B4040F2" w:rsidR="006B740B" w:rsidRPr="002A0BFB" w:rsidRDefault="006B740B" w:rsidP="002A0BF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Таблица </w:t>
      </w:r>
      <w:r w:rsidR="00E04579"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E04579"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.2</w:t>
      </w:r>
      <w:r w:rsidR="002A0BFB"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Результаты определения доли </w:t>
      </w:r>
      <w:proofErr w:type="spellStart"/>
      <w:r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неколлектора</w:t>
      </w:r>
      <w:proofErr w:type="spellEnd"/>
      <w:r w:rsidRPr="002A0BF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объектам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1278"/>
        <w:gridCol w:w="1274"/>
        <w:gridCol w:w="1559"/>
        <w:gridCol w:w="1276"/>
        <w:gridCol w:w="1701"/>
        <w:gridCol w:w="1261"/>
      </w:tblGrid>
      <w:tr w:rsidR="0074342D" w:rsidRPr="00D2765E" w14:paraId="4D73B819" w14:textId="77777777" w:rsidTr="0074342D">
        <w:trPr>
          <w:trHeight w:val="20"/>
        </w:trPr>
        <w:tc>
          <w:tcPr>
            <w:tcW w:w="524" w:type="pct"/>
            <w:shd w:val="clear" w:color="auto" w:fill="auto"/>
            <w:vAlign w:val="center"/>
            <w:hideMark/>
          </w:tcPr>
          <w:p w14:paraId="3AAF08AF" w14:textId="77777777" w:rsidR="0074342D" w:rsidRPr="00D2765E" w:rsidRDefault="0074342D" w:rsidP="006B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67ECF4AB" w14:textId="77777777" w:rsidR="0074342D" w:rsidRPr="00D2765E" w:rsidRDefault="0074342D" w:rsidP="006B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Горизонт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45D7FAF1" w14:textId="77777777" w:rsidR="0074342D" w:rsidRPr="00D2765E" w:rsidRDefault="0074342D" w:rsidP="006B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толщина горизонта, м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14:paraId="09C2C26D" w14:textId="77777777" w:rsidR="0074342D" w:rsidRPr="00D2765E" w:rsidRDefault="0074342D" w:rsidP="006B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нефтеносности категории В+С</w:t>
            </w: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1,</w:t>
            </w: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тыс.м</w:t>
            </w:r>
            <w:proofErr w:type="gramEnd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FA97F08" w14:textId="77777777" w:rsidR="0074342D" w:rsidRPr="00D2765E" w:rsidRDefault="0074342D" w:rsidP="006B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горизонта, </w:t>
            </w:r>
            <w:proofErr w:type="gramStart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тыс.м</w:t>
            </w:r>
            <w:proofErr w:type="gramEnd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14:paraId="747B088E" w14:textId="77777777" w:rsidR="0074342D" w:rsidRPr="00D2765E" w:rsidRDefault="0074342D" w:rsidP="006B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Нефтенасыщенный</w:t>
            </w:r>
            <w:proofErr w:type="spellEnd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объем пород, </w:t>
            </w:r>
            <w:proofErr w:type="gramStart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тыс.м</w:t>
            </w:r>
            <w:proofErr w:type="gramEnd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76" w:type="pct"/>
            <w:shd w:val="clear" w:color="auto" w:fill="auto"/>
            <w:vAlign w:val="center"/>
            <w:hideMark/>
          </w:tcPr>
          <w:p w14:paraId="2F0427B3" w14:textId="77777777" w:rsidR="0074342D" w:rsidRPr="00D2765E" w:rsidRDefault="0074342D" w:rsidP="006B7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неколлектора</w:t>
            </w:r>
            <w:proofErr w:type="spellEnd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доли </w:t>
            </w:r>
            <w:proofErr w:type="spellStart"/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</w:p>
        </w:tc>
      </w:tr>
      <w:tr w:rsidR="0074342D" w:rsidRPr="00D2765E" w14:paraId="4254F110" w14:textId="77777777" w:rsidTr="0074342D">
        <w:trPr>
          <w:trHeight w:val="20"/>
        </w:trPr>
        <w:tc>
          <w:tcPr>
            <w:tcW w:w="524" w:type="pct"/>
            <w:shd w:val="clear" w:color="auto" w:fill="auto"/>
            <w:vAlign w:val="center"/>
            <w:hideMark/>
          </w:tcPr>
          <w:p w14:paraId="6B6A6827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6C2A8E89" w14:textId="6540F34D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Ю-II 1 </w:t>
            </w:r>
            <w:proofErr w:type="spellStart"/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</w:t>
            </w:r>
            <w:proofErr w:type="spellEnd"/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Ю-III, Ю-IV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3820086F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14:paraId="3FF04EF5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944,0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0111F588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23168,4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14:paraId="290524CB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13318,0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14:paraId="4561570A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</w:tr>
      <w:tr w:rsidR="0074342D" w:rsidRPr="00D2765E" w14:paraId="23F5413B" w14:textId="77777777" w:rsidTr="0074342D">
        <w:trPr>
          <w:trHeight w:val="20"/>
        </w:trPr>
        <w:tc>
          <w:tcPr>
            <w:tcW w:w="524" w:type="pct"/>
            <w:shd w:val="clear" w:color="auto" w:fill="auto"/>
            <w:vAlign w:val="center"/>
            <w:hideMark/>
          </w:tcPr>
          <w:p w14:paraId="4FB0CD7A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4CC792EB" w14:textId="54E89F29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Ю-V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2A702518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14:paraId="2B4BD519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1134,0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73AEF95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11993,5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14:paraId="4B05F641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5449,0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14:paraId="3EC4EE42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0,546</w:t>
            </w:r>
          </w:p>
        </w:tc>
      </w:tr>
      <w:tr w:rsidR="0074342D" w:rsidRPr="00D2765E" w14:paraId="4E6DF5BB" w14:textId="77777777" w:rsidTr="0074342D">
        <w:trPr>
          <w:trHeight w:val="20"/>
        </w:trPr>
        <w:tc>
          <w:tcPr>
            <w:tcW w:w="524" w:type="pct"/>
            <w:shd w:val="clear" w:color="auto" w:fill="auto"/>
            <w:vAlign w:val="center"/>
            <w:hideMark/>
          </w:tcPr>
          <w:p w14:paraId="12D43374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</w:t>
            </w:r>
          </w:p>
        </w:tc>
        <w:tc>
          <w:tcPr>
            <w:tcW w:w="685" w:type="pct"/>
            <w:shd w:val="clear" w:color="auto" w:fill="auto"/>
            <w:noWrap/>
            <w:vAlign w:val="center"/>
            <w:hideMark/>
          </w:tcPr>
          <w:p w14:paraId="71C69366" w14:textId="4DCAC3F3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</w:t>
            </w:r>
            <w:proofErr w:type="spellEnd"/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-II 1 </w:t>
            </w:r>
            <w:proofErr w:type="spellStart"/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14:paraId="40734A74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14:paraId="21FC119E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E3CAD31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802,7</w:t>
            </w:r>
          </w:p>
        </w:tc>
        <w:tc>
          <w:tcPr>
            <w:tcW w:w="912" w:type="pct"/>
            <w:shd w:val="clear" w:color="auto" w:fill="auto"/>
            <w:noWrap/>
            <w:vAlign w:val="center"/>
            <w:hideMark/>
          </w:tcPr>
          <w:p w14:paraId="58CD25FD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14:paraId="5137380C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0,589</w:t>
            </w:r>
          </w:p>
        </w:tc>
      </w:tr>
      <w:tr w:rsidR="0074342D" w:rsidRPr="00D2765E" w14:paraId="622D79DB" w14:textId="77777777" w:rsidTr="0074342D">
        <w:trPr>
          <w:trHeight w:val="20"/>
        </w:trPr>
        <w:tc>
          <w:tcPr>
            <w:tcW w:w="524" w:type="pct"/>
            <w:shd w:val="clear" w:color="auto" w:fill="auto"/>
            <w:vAlign w:val="center"/>
            <w:hideMark/>
          </w:tcPr>
          <w:p w14:paraId="6B78EAD0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B-II</w:t>
            </w:r>
          </w:p>
        </w:tc>
        <w:tc>
          <w:tcPr>
            <w:tcW w:w="685" w:type="pct"/>
            <w:shd w:val="clear" w:color="auto" w:fill="auto"/>
            <w:noWrap/>
            <w:vAlign w:val="center"/>
            <w:hideMark/>
          </w:tcPr>
          <w:p w14:paraId="18D50C46" w14:textId="0E75A85E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Ю-I</w:t>
            </w:r>
          </w:p>
        </w:tc>
        <w:tc>
          <w:tcPr>
            <w:tcW w:w="683" w:type="pct"/>
            <w:shd w:val="clear" w:color="auto" w:fill="auto"/>
            <w:noWrap/>
            <w:vAlign w:val="center"/>
            <w:hideMark/>
          </w:tcPr>
          <w:p w14:paraId="24484AA4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836" w:type="pct"/>
            <w:shd w:val="clear" w:color="auto" w:fill="auto"/>
            <w:noWrap/>
            <w:vAlign w:val="center"/>
            <w:hideMark/>
          </w:tcPr>
          <w:p w14:paraId="046435CC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37079C7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912" w:type="pct"/>
            <w:shd w:val="clear" w:color="auto" w:fill="auto"/>
            <w:noWrap/>
            <w:vAlign w:val="center"/>
            <w:hideMark/>
          </w:tcPr>
          <w:p w14:paraId="5CFC7047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14:paraId="5B6C3B58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0,619</w:t>
            </w:r>
          </w:p>
        </w:tc>
      </w:tr>
      <w:tr w:rsidR="0074342D" w:rsidRPr="00D2765E" w14:paraId="77376867" w14:textId="77777777" w:rsidTr="0074342D">
        <w:trPr>
          <w:trHeight w:val="20"/>
        </w:trPr>
        <w:tc>
          <w:tcPr>
            <w:tcW w:w="524" w:type="pct"/>
            <w:shd w:val="clear" w:color="auto" w:fill="auto"/>
            <w:vAlign w:val="center"/>
            <w:hideMark/>
          </w:tcPr>
          <w:p w14:paraId="05A8AD10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B-III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14:paraId="330404DF" w14:textId="7ED3A523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Ю-VI, Ю-VII, Ю-VIII, Ю-IX, Ю-X</w:t>
            </w:r>
          </w:p>
        </w:tc>
        <w:tc>
          <w:tcPr>
            <w:tcW w:w="683" w:type="pct"/>
            <w:shd w:val="clear" w:color="auto" w:fill="auto"/>
            <w:vAlign w:val="center"/>
            <w:hideMark/>
          </w:tcPr>
          <w:p w14:paraId="593AFFDC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14:paraId="47767955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71986A0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349,6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14:paraId="194E6C50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676" w:type="pct"/>
            <w:shd w:val="clear" w:color="auto" w:fill="auto"/>
            <w:noWrap/>
            <w:vAlign w:val="center"/>
            <w:hideMark/>
          </w:tcPr>
          <w:p w14:paraId="709DF7C6" w14:textId="77777777" w:rsidR="0074342D" w:rsidRPr="00D2765E" w:rsidRDefault="0074342D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0,499</w:t>
            </w:r>
          </w:p>
        </w:tc>
      </w:tr>
    </w:tbl>
    <w:p w14:paraId="4BE38624" w14:textId="77777777" w:rsidR="006B740B" w:rsidRPr="006B740B" w:rsidRDefault="006B740B" w:rsidP="006B74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29DDF6D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 – линейный размер хаотического изменения коллекторских свойств пластов – размер отдельных зон, которыми моделируется хаотическая зональная неоднородность пластов. Можно считать, что в пределах одного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пропластка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коллекторских свойств незначительно, и для определения линейных размеров зон неоднородности можно использовать осредненные значения длин однородных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пропластков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продольному и поперечному сечению разреза. В связи с этим, для определения размеров зон неоднородности для каждого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подсчетного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использованы осредненные длины проекции коллекторов данного продуктивного горизонта;</w:t>
      </w:r>
    </w:p>
    <w:p w14:paraId="2D915C53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  <w:t>I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площадь на одну скважину, км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8F9C37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заводнения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зависит от зональной и послойной неоднородности пластов по проницаемости, соотношения вязкости нефти и воды, системы размещения скважин, а также предельной обводненности добываемой продукции.</w:t>
      </w:r>
    </w:p>
    <w:p w14:paraId="6C68CF6E" w14:textId="1C0651B0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зн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(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зк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зн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А; 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.7)</w:t>
      </w:r>
    </w:p>
    <w:p w14:paraId="0BEAACEB" w14:textId="3D61D1CD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795D10A" wp14:editId="2981645F">
            <wp:extent cx="1257300" cy="45720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proofErr w:type="gram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.8)</w:t>
      </w:r>
    </w:p>
    <w:p w14:paraId="44F873E2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зн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доля отбора подвижных запасов нефти за безводный период разработки, условно безводным можно считать период эксплуатации скважины с обводненностью менее 5%; </w:t>
      </w:r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зк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потенциально возможная конечная доля отбора подвижных запасов нефти. Данные коэффициенты учитывают неравномерность вытеснения нефти водой в добывающие скважины; </w:t>
      </w: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F44E07" wp14:editId="2E624141">
            <wp:extent cx="180975" cy="2000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различие физических свойств нефти и вытесняющей воды в пластовых условиях.</w:t>
      </w:r>
    </w:p>
    <w:p w14:paraId="0A828E01" w14:textId="740C2201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6E24DF" wp14:editId="3E8932B6">
            <wp:extent cx="1104900" cy="41910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.9)</w:t>
      </w:r>
    </w:p>
    <w:p w14:paraId="4D8E7B3A" w14:textId="2594EB62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зк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0,95+0,25·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ν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.10)</w:t>
      </w:r>
    </w:p>
    <w:p w14:paraId="6E1A491E" w14:textId="76FF8E99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6B56B2" wp14:editId="20E9B7B1">
            <wp:extent cx="1190625" cy="428625"/>
            <wp:effectExtent l="0" t="0" r="9525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  <w:proofErr w:type="gram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.11)</w:t>
      </w:r>
    </w:p>
    <w:p w14:paraId="0173F711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38D0A6" wp14:editId="3BA957DB">
            <wp:extent cx="180975" cy="2000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соотношение подвижностей вытесняющего агента и нефти в пластовых условиях (</w:t>
      </w: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µ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*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type m:val="skw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µ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µ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в</m:t>
                    </m:r>
                  </m:sub>
                </m:sSub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·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1,5</m:t>
            </m:r>
          </m:sup>
        </m:sSub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эксплуатационного объекта соотношение подвижностей нефти и воды составляет 1,212 доли ед., для </w:t>
      </w:r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– 0,595 доли ед.;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ν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расчетная послойная неоднородность пластов, данный параметр является комплексным, объединяющим различные виды неоднородности, действующие взаимно, независимо и одновременно.</w:t>
      </w:r>
    </w:p>
    <w:p w14:paraId="58DA01B2" w14:textId="77777777" w:rsidR="006B740B" w:rsidRPr="007607C8" w:rsidRDefault="006634D6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bSup>
      </m:oMath>
      <w:r w:rsidR="006B740B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действительная послойная неоднородность. </w:t>
      </w:r>
    </w:p>
    <w:p w14:paraId="3E7FDE2F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расчета послойной неоднородности определяется проницаемость и квадрат проницаемости для каждого слоя в каждой скважине. Проводится осреднение полученных проницаемостей и их квадратичных значений для каждой скважины по горизонту в целом:</w:t>
      </w:r>
    </w:p>
    <w:p w14:paraId="4A7B922E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6A9C4772" wp14:editId="086DC6EB">
            <wp:simplePos x="0" y="0"/>
            <wp:positionH relativeFrom="column">
              <wp:posOffset>2447290</wp:posOffset>
            </wp:positionH>
            <wp:positionV relativeFrom="paragraph">
              <wp:posOffset>114935</wp:posOffset>
            </wp:positionV>
            <wp:extent cx="962660" cy="428625"/>
            <wp:effectExtent l="0" t="0" r="8890" b="9525"/>
            <wp:wrapNone/>
            <wp:docPr id="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2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A3D824" w14:textId="62747471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.12)</w:t>
      </w:r>
    </w:p>
    <w:p w14:paraId="05A78000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E625D8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7674EB6D" wp14:editId="7E78AE6D">
            <wp:simplePos x="0" y="0"/>
            <wp:positionH relativeFrom="column">
              <wp:posOffset>2339340</wp:posOffset>
            </wp:positionH>
            <wp:positionV relativeFrom="paragraph">
              <wp:posOffset>394970</wp:posOffset>
            </wp:positionV>
            <wp:extent cx="1210945" cy="619125"/>
            <wp:effectExtent l="0" t="0" r="8255" b="9525"/>
            <wp:wrapNone/>
            <wp:docPr id="4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осуществляется переход к неограниченно большой совокупности:</w:t>
      </w:r>
    </w:p>
    <w:p w14:paraId="69468406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</w:p>
    <w:p w14:paraId="5143CFB8" w14:textId="282C2BE4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.13)</w:t>
      </w:r>
    </w:p>
    <w:p w14:paraId="31849FAF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ECE3F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B2047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Аналогичным образом определяется зональная неоднородность (V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7607C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зон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), только вместо слоев используются скважины.</w:t>
      </w:r>
    </w:p>
    <w:p w14:paraId="3BC21205" w14:textId="77777777" w:rsidR="006B740B" w:rsidRPr="007607C8" w:rsidRDefault="006634D6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bSup>
      </m:oMath>
      <w:r w:rsidR="006B740B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геометрическая неоднородность (неравномерность) вытеснения нефти водой в однородном слое, обусловленная точечностью и геометрией точек расположения источников и стоков, а также различием подвижностей вытесняющей воды и нефти:</w:t>
      </w:r>
    </w:p>
    <w:p w14:paraId="1F3A1592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76C89949" wp14:editId="08AD71F2">
            <wp:simplePos x="0" y="0"/>
            <wp:positionH relativeFrom="column">
              <wp:posOffset>2063115</wp:posOffset>
            </wp:positionH>
            <wp:positionV relativeFrom="paragraph">
              <wp:posOffset>141605</wp:posOffset>
            </wp:positionV>
            <wp:extent cx="1632585" cy="409575"/>
            <wp:effectExtent l="0" t="0" r="5715" b="9525"/>
            <wp:wrapNone/>
            <wp:docPr id="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1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14:paraId="125A4E05" w14:textId="441A0509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.14)</w:t>
      </w:r>
    </w:p>
    <w:p w14:paraId="2D6FD056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9847C3" w14:textId="77777777" w:rsidR="006B740B" w:rsidRPr="007607C8" w:rsidRDefault="006634D6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bSup>
      </m:oMath>
      <w:r w:rsidR="006B740B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расчетная зональная неоднородность, характеризующая неравномерность стягивания фронтов вытесняющей воды с разных сторон от различных нагнетательных скважин к стягивающей добывающей скважине:</w:t>
      </w:r>
    </w:p>
    <w:p w14:paraId="2E05D97C" w14:textId="4D5CDB44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0F8FE1A" wp14:editId="6B38CCDC">
            <wp:simplePos x="0" y="0"/>
            <wp:positionH relativeFrom="column">
              <wp:posOffset>2668905</wp:posOffset>
            </wp:positionH>
            <wp:positionV relativeFrom="paragraph">
              <wp:posOffset>5080</wp:posOffset>
            </wp:positionV>
            <wp:extent cx="719045" cy="476250"/>
            <wp:effectExtent l="0" t="0" r="5080" b="0"/>
            <wp:wrapNone/>
            <wp:docPr id="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5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4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.15)</w:t>
      </w:r>
    </w:p>
    <w:p w14:paraId="31753520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83E69C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расчетная послойная неоднородность для </w:t>
      </w:r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составляет 0,515 доли ед., для </w:t>
      </w:r>
      <w:r w:rsidRPr="007607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– 1,133 доли ед. и определяется по следующей формуле:</w:t>
      </w:r>
    </w:p>
    <w:p w14:paraId="7732F4A4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E02F16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7D181492" wp14:editId="1FDA2C23">
            <wp:simplePos x="0" y="0"/>
            <wp:positionH relativeFrom="margin">
              <wp:posOffset>1105535</wp:posOffset>
            </wp:positionH>
            <wp:positionV relativeFrom="paragraph">
              <wp:posOffset>48260</wp:posOffset>
            </wp:positionV>
            <wp:extent cx="3105150" cy="582861"/>
            <wp:effectExtent l="0" t="0" r="0" b="8255"/>
            <wp:wrapNone/>
            <wp:docPr id="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82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7B5468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(3.5.16)</w:t>
      </w:r>
    </w:p>
    <w:p w14:paraId="5561E588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AF84C0" w14:textId="0FDE8D16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DC0160" wp14:editId="062D7E5E">
            <wp:extent cx="781050" cy="4191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.17)</w:t>
      </w:r>
    </w:p>
    <w:p w14:paraId="13847446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D4F96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55A25C" wp14:editId="62425E77">
            <wp:extent cx="228600" cy="22860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фильтрационный коэффициент.</w:t>
      </w:r>
    </w:p>
    <w:p w14:paraId="0B930324" w14:textId="2D7C4D19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2EDA2B" wp14:editId="4B745C6B">
            <wp:extent cx="228600" cy="22860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0A4292" wp14:editId="06A8C2BE">
            <wp:extent cx="266700" cy="22860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proofErr w:type="gram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.18)</w:t>
      </w:r>
    </w:p>
    <w:p w14:paraId="21EC20CC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2E5BB" w14:textId="5C71361E" w:rsidR="006B740B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Значения коэффициентов охвата,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заводнения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конечного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нефтеизвлечения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рассчитанных для разных вариантов, по каждому продуктивному горизонту, с учетом геологического строения и неоднородности приведены в таблице </w:t>
      </w:r>
      <w:r w:rsidR="00E04579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</w:p>
    <w:p w14:paraId="5541616D" w14:textId="23526383" w:rsidR="006B740B" w:rsidRPr="00CF3568" w:rsidRDefault="006B740B" w:rsidP="00CF35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аблица</w:t>
      </w:r>
      <w:proofErr w:type="spellEnd"/>
      <w:r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E04579"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</w:t>
      </w:r>
      <w:r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E04579"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.3</w:t>
      </w:r>
      <w:r w:rsidR="00CF3568"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</w:t>
      </w:r>
      <w:r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Коэффициенты </w:t>
      </w:r>
      <w:proofErr w:type="spellStart"/>
      <w:r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нефтеизвлечения</w:t>
      </w:r>
      <w:proofErr w:type="spellEnd"/>
      <w:r w:rsidRPr="00CF356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расчетным вариантам разработки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08"/>
        <w:gridCol w:w="1434"/>
        <w:gridCol w:w="1117"/>
        <w:gridCol w:w="1115"/>
        <w:gridCol w:w="1115"/>
        <w:gridCol w:w="1132"/>
        <w:gridCol w:w="2104"/>
      </w:tblGrid>
      <w:tr w:rsidR="006B740B" w:rsidRPr="00D2765E" w14:paraId="0695A690" w14:textId="77777777" w:rsidTr="0074342D">
        <w:trPr>
          <w:trHeight w:val="20"/>
        </w:trPr>
        <w:tc>
          <w:tcPr>
            <w:tcW w:w="701" w:type="pct"/>
            <w:vMerge w:val="restart"/>
            <w:shd w:val="clear" w:color="auto" w:fill="auto"/>
            <w:noWrap/>
            <w:vAlign w:val="center"/>
            <w:hideMark/>
          </w:tcPr>
          <w:p w14:paraId="484387EF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Объекты</w:t>
            </w:r>
          </w:p>
        </w:tc>
        <w:tc>
          <w:tcPr>
            <w:tcW w:w="769" w:type="pct"/>
            <w:vMerge w:val="restart"/>
            <w:shd w:val="clear" w:color="auto" w:fill="auto"/>
            <w:noWrap/>
            <w:vAlign w:val="center"/>
            <w:hideMark/>
          </w:tcPr>
          <w:p w14:paraId="61C2C6E5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Варианты</w:t>
            </w:r>
          </w:p>
        </w:tc>
        <w:tc>
          <w:tcPr>
            <w:tcW w:w="2402" w:type="pct"/>
            <w:gridSpan w:val="4"/>
            <w:shd w:val="clear" w:color="auto" w:fill="auto"/>
            <w:noWrap/>
            <w:vAlign w:val="center"/>
            <w:hideMark/>
          </w:tcPr>
          <w:p w14:paraId="08552EB0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Расчетные коэффициенты, доли ед.</w:t>
            </w:r>
          </w:p>
        </w:tc>
        <w:tc>
          <w:tcPr>
            <w:tcW w:w="1128" w:type="pct"/>
            <w:vMerge w:val="restart"/>
            <w:shd w:val="clear" w:color="auto" w:fill="auto"/>
            <w:vAlign w:val="center"/>
            <w:hideMark/>
          </w:tcPr>
          <w:p w14:paraId="46ECD434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Предыдущий утвержденный КИН, доли ед.</w:t>
            </w:r>
          </w:p>
        </w:tc>
      </w:tr>
      <w:tr w:rsidR="006B740B" w:rsidRPr="00D2765E" w14:paraId="524B0BC8" w14:textId="77777777" w:rsidTr="0074342D">
        <w:trPr>
          <w:trHeight w:val="20"/>
        </w:trPr>
        <w:tc>
          <w:tcPr>
            <w:tcW w:w="701" w:type="pct"/>
            <w:vMerge/>
            <w:shd w:val="clear" w:color="auto" w:fill="auto"/>
            <w:vAlign w:val="center"/>
            <w:hideMark/>
          </w:tcPr>
          <w:p w14:paraId="3623835B" w14:textId="77777777" w:rsidR="006B740B" w:rsidRPr="00D2765E" w:rsidRDefault="006B740B" w:rsidP="0074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vMerge/>
            <w:shd w:val="clear" w:color="auto" w:fill="auto"/>
            <w:vAlign w:val="center"/>
            <w:hideMark/>
          </w:tcPr>
          <w:p w14:paraId="0B7317DF" w14:textId="77777777" w:rsidR="006B740B" w:rsidRPr="00D2765E" w:rsidRDefault="006B740B" w:rsidP="0074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967895F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740DE6A9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5456E9D7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2555AE1B" w14:textId="77777777" w:rsidR="006B740B" w:rsidRPr="00D2765E" w:rsidRDefault="006B740B" w:rsidP="0074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КИН</w:t>
            </w:r>
          </w:p>
        </w:tc>
        <w:tc>
          <w:tcPr>
            <w:tcW w:w="1128" w:type="pct"/>
            <w:vMerge/>
            <w:shd w:val="clear" w:color="auto" w:fill="auto"/>
            <w:vAlign w:val="center"/>
            <w:hideMark/>
          </w:tcPr>
          <w:p w14:paraId="630502D8" w14:textId="77777777" w:rsidR="006B740B" w:rsidRPr="00D2765E" w:rsidRDefault="006B740B" w:rsidP="00743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2765E" w:rsidRPr="00D2765E" w14:paraId="611B1A1A" w14:textId="77777777" w:rsidTr="0074342D">
        <w:trPr>
          <w:trHeight w:val="20"/>
        </w:trPr>
        <w:tc>
          <w:tcPr>
            <w:tcW w:w="701" w:type="pct"/>
            <w:vMerge w:val="restart"/>
            <w:shd w:val="clear" w:color="auto" w:fill="auto"/>
            <w:noWrap/>
            <w:vAlign w:val="center"/>
            <w:hideMark/>
          </w:tcPr>
          <w:p w14:paraId="266C88C8" w14:textId="77777777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2CC83088" w14:textId="77777777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16FA9D03" w14:textId="73097CDA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27663A22" w14:textId="637D5CD9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17D0ED1E" w14:textId="289168DD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0,808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525454E" w14:textId="157F8ECD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0,336</w:t>
            </w:r>
          </w:p>
        </w:tc>
        <w:tc>
          <w:tcPr>
            <w:tcW w:w="1128" w:type="pct"/>
            <w:vMerge w:val="restart"/>
            <w:shd w:val="clear" w:color="auto" w:fill="auto"/>
            <w:noWrap/>
            <w:vAlign w:val="center"/>
            <w:hideMark/>
          </w:tcPr>
          <w:p w14:paraId="41E09E06" w14:textId="4D98B494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</w:tr>
      <w:tr w:rsidR="00D2765E" w:rsidRPr="00D2765E" w14:paraId="0782959C" w14:textId="77777777" w:rsidTr="0074342D">
        <w:trPr>
          <w:trHeight w:val="20"/>
        </w:trPr>
        <w:tc>
          <w:tcPr>
            <w:tcW w:w="701" w:type="pct"/>
            <w:vMerge/>
            <w:shd w:val="clear" w:color="auto" w:fill="auto"/>
            <w:vAlign w:val="center"/>
            <w:hideMark/>
          </w:tcPr>
          <w:p w14:paraId="67C5540D" w14:textId="77777777" w:rsidR="00D2765E" w:rsidRPr="00D2765E" w:rsidRDefault="00D2765E" w:rsidP="00D276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18365330" w14:textId="77777777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77221174" w14:textId="4DC4EB6A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0,658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7104981B" w14:textId="056A9499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584C4582" w14:textId="0F57988C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0,834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1137641" w14:textId="6A5CDE61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0,354</w:t>
            </w:r>
          </w:p>
        </w:tc>
        <w:tc>
          <w:tcPr>
            <w:tcW w:w="1128" w:type="pct"/>
            <w:vMerge/>
            <w:shd w:val="clear" w:color="auto" w:fill="auto"/>
            <w:vAlign w:val="center"/>
            <w:hideMark/>
          </w:tcPr>
          <w:p w14:paraId="62AC4FE9" w14:textId="77777777" w:rsidR="00D2765E" w:rsidRPr="00D2765E" w:rsidRDefault="00D2765E" w:rsidP="00D27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765E" w:rsidRPr="00D2765E" w14:paraId="568D0722" w14:textId="77777777" w:rsidTr="0074342D">
        <w:trPr>
          <w:trHeight w:val="20"/>
        </w:trPr>
        <w:tc>
          <w:tcPr>
            <w:tcW w:w="701" w:type="pct"/>
            <w:vMerge/>
            <w:shd w:val="clear" w:color="auto" w:fill="auto"/>
            <w:vAlign w:val="center"/>
            <w:hideMark/>
          </w:tcPr>
          <w:p w14:paraId="37B23932" w14:textId="77777777" w:rsidR="00D2765E" w:rsidRPr="00D2765E" w:rsidRDefault="00D2765E" w:rsidP="00D276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4B48FD7E" w14:textId="77777777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A31ABCE" w14:textId="6EF7D7D0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0,669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6E98E04A" w14:textId="1EF809AE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79E16AA5" w14:textId="183C2DBC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0,807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57C52E35" w14:textId="3C64F4D5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0,348</w:t>
            </w:r>
          </w:p>
        </w:tc>
        <w:tc>
          <w:tcPr>
            <w:tcW w:w="1128" w:type="pct"/>
            <w:vMerge/>
            <w:shd w:val="clear" w:color="auto" w:fill="auto"/>
            <w:vAlign w:val="center"/>
            <w:hideMark/>
          </w:tcPr>
          <w:p w14:paraId="428A813E" w14:textId="77777777" w:rsidR="00D2765E" w:rsidRPr="00D2765E" w:rsidRDefault="00D2765E" w:rsidP="00D27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765E" w:rsidRPr="00D2765E" w14:paraId="76F1BC28" w14:textId="77777777" w:rsidTr="0074342D">
        <w:trPr>
          <w:trHeight w:val="20"/>
        </w:trPr>
        <w:tc>
          <w:tcPr>
            <w:tcW w:w="701" w:type="pct"/>
            <w:vMerge w:val="restart"/>
            <w:shd w:val="clear" w:color="auto" w:fill="auto"/>
            <w:noWrap/>
            <w:vAlign w:val="center"/>
            <w:hideMark/>
          </w:tcPr>
          <w:p w14:paraId="7B57747F" w14:textId="77777777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651D2179" w14:textId="77777777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299A0A2E" w14:textId="5B54B1AE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15855DC8" w14:textId="63F62337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386B77AE" w14:textId="43922981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0,461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0DDB26A1" w14:textId="1C0D3CE7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0,290</w:t>
            </w:r>
          </w:p>
        </w:tc>
        <w:tc>
          <w:tcPr>
            <w:tcW w:w="1128" w:type="pct"/>
            <w:vMerge w:val="restart"/>
            <w:shd w:val="clear" w:color="auto" w:fill="auto"/>
            <w:noWrap/>
            <w:vAlign w:val="center"/>
            <w:hideMark/>
          </w:tcPr>
          <w:p w14:paraId="2B65AEDA" w14:textId="20DE2D72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</w:tr>
      <w:tr w:rsidR="00D2765E" w:rsidRPr="00D2765E" w14:paraId="37883435" w14:textId="77777777" w:rsidTr="0074342D">
        <w:trPr>
          <w:trHeight w:val="20"/>
        </w:trPr>
        <w:tc>
          <w:tcPr>
            <w:tcW w:w="701" w:type="pct"/>
            <w:vMerge/>
            <w:shd w:val="clear" w:color="auto" w:fill="auto"/>
            <w:vAlign w:val="center"/>
            <w:hideMark/>
          </w:tcPr>
          <w:p w14:paraId="32CC3801" w14:textId="77777777" w:rsidR="00D2765E" w:rsidRPr="00D2765E" w:rsidRDefault="00D2765E" w:rsidP="00D276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5F8D4060" w14:textId="77777777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48EB7DB0" w14:textId="687E1C16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0,937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0D41A879" w14:textId="65F8ED35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2AE8F423" w14:textId="53E495F1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0,572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5EAB5CF" w14:textId="11C5F492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0,345</w:t>
            </w:r>
          </w:p>
        </w:tc>
        <w:tc>
          <w:tcPr>
            <w:tcW w:w="1128" w:type="pct"/>
            <w:vMerge/>
            <w:shd w:val="clear" w:color="auto" w:fill="auto"/>
            <w:vAlign w:val="center"/>
            <w:hideMark/>
          </w:tcPr>
          <w:p w14:paraId="584DB0E5" w14:textId="77777777" w:rsidR="00D2765E" w:rsidRPr="00D2765E" w:rsidRDefault="00D2765E" w:rsidP="00D27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765E" w:rsidRPr="00D2765E" w14:paraId="582F3ACD" w14:textId="77777777" w:rsidTr="0074342D">
        <w:trPr>
          <w:trHeight w:val="20"/>
        </w:trPr>
        <w:tc>
          <w:tcPr>
            <w:tcW w:w="701" w:type="pct"/>
            <w:vMerge/>
            <w:shd w:val="clear" w:color="auto" w:fill="auto"/>
            <w:vAlign w:val="center"/>
            <w:hideMark/>
          </w:tcPr>
          <w:p w14:paraId="7F47A81F" w14:textId="77777777" w:rsidR="00D2765E" w:rsidRPr="00D2765E" w:rsidRDefault="00D2765E" w:rsidP="00D2765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7B09A96A" w14:textId="77777777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3CB546F6" w14:textId="5E1517A0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0,942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11702429" w14:textId="348CA2F9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1627F5BD" w14:textId="50B2A906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160B1A05" w14:textId="4227045C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128" w:type="pct"/>
            <w:vMerge/>
            <w:shd w:val="clear" w:color="auto" w:fill="auto"/>
            <w:vAlign w:val="center"/>
            <w:hideMark/>
          </w:tcPr>
          <w:p w14:paraId="42F1FACC" w14:textId="77777777" w:rsidR="00D2765E" w:rsidRPr="00D2765E" w:rsidRDefault="00D2765E" w:rsidP="00D276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765E" w:rsidRPr="00D2765E" w14:paraId="1B652C5F" w14:textId="77777777" w:rsidTr="0074342D">
        <w:trPr>
          <w:trHeight w:val="20"/>
        </w:trPr>
        <w:tc>
          <w:tcPr>
            <w:tcW w:w="701" w:type="pct"/>
            <w:shd w:val="clear" w:color="auto" w:fill="auto"/>
            <w:noWrap/>
            <w:vAlign w:val="center"/>
            <w:hideMark/>
          </w:tcPr>
          <w:p w14:paraId="63767C47" w14:textId="77777777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538A92EC" w14:textId="77777777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06334D7E" w14:textId="2E3F5751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0,986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79308182" w14:textId="63CEDB0E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0,648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54E554E8" w14:textId="326BD1A6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0,259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7CF72BB5" w14:textId="24CB1D26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0,165</w:t>
            </w:r>
          </w:p>
        </w:tc>
        <w:tc>
          <w:tcPr>
            <w:tcW w:w="1128" w:type="pct"/>
            <w:shd w:val="clear" w:color="auto" w:fill="auto"/>
            <w:noWrap/>
            <w:vAlign w:val="center"/>
            <w:hideMark/>
          </w:tcPr>
          <w:p w14:paraId="3154C062" w14:textId="2D6CB240" w:rsidR="00D2765E" w:rsidRPr="00D2765E" w:rsidRDefault="00D2765E" w:rsidP="00D27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272</w:t>
            </w:r>
          </w:p>
        </w:tc>
      </w:tr>
      <w:tr w:rsidR="00D2765E" w:rsidRPr="00D2765E" w14:paraId="6934E2CD" w14:textId="77777777" w:rsidTr="0074342D">
        <w:trPr>
          <w:trHeight w:val="20"/>
        </w:trPr>
        <w:tc>
          <w:tcPr>
            <w:tcW w:w="701" w:type="pct"/>
            <w:shd w:val="clear" w:color="auto" w:fill="auto"/>
            <w:noWrap/>
            <w:vAlign w:val="center"/>
            <w:hideMark/>
          </w:tcPr>
          <w:p w14:paraId="1363F7E7" w14:textId="77777777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B-II</w:t>
            </w:r>
          </w:p>
        </w:tc>
        <w:tc>
          <w:tcPr>
            <w:tcW w:w="769" w:type="pct"/>
            <w:shd w:val="clear" w:color="auto" w:fill="auto"/>
            <w:noWrap/>
            <w:vAlign w:val="center"/>
            <w:hideMark/>
          </w:tcPr>
          <w:p w14:paraId="7D2A2604" w14:textId="77777777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14:paraId="55016422" w14:textId="17597E84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0,911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316B4FC8" w14:textId="22A02764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  <w:hideMark/>
          </w:tcPr>
          <w:p w14:paraId="7CE086EA" w14:textId="02465C0B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0,487</w:t>
            </w:r>
          </w:p>
        </w:tc>
        <w:tc>
          <w:tcPr>
            <w:tcW w:w="607" w:type="pct"/>
            <w:shd w:val="clear" w:color="auto" w:fill="auto"/>
            <w:noWrap/>
            <w:vAlign w:val="center"/>
            <w:hideMark/>
          </w:tcPr>
          <w:p w14:paraId="4CA4C85A" w14:textId="29927034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0,286</w:t>
            </w:r>
          </w:p>
        </w:tc>
        <w:tc>
          <w:tcPr>
            <w:tcW w:w="1128" w:type="pct"/>
            <w:shd w:val="clear" w:color="auto" w:fill="auto"/>
            <w:noWrap/>
            <w:vAlign w:val="center"/>
            <w:hideMark/>
          </w:tcPr>
          <w:p w14:paraId="68A6FC96" w14:textId="30806388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0,315</w:t>
            </w:r>
          </w:p>
        </w:tc>
      </w:tr>
      <w:tr w:rsidR="00D2765E" w:rsidRPr="00D2765E" w14:paraId="48A1E2E6" w14:textId="77777777" w:rsidTr="0074342D">
        <w:trPr>
          <w:trHeight w:val="20"/>
        </w:trPr>
        <w:tc>
          <w:tcPr>
            <w:tcW w:w="701" w:type="pct"/>
            <w:shd w:val="clear" w:color="auto" w:fill="auto"/>
            <w:noWrap/>
            <w:vAlign w:val="center"/>
          </w:tcPr>
          <w:p w14:paraId="320FD115" w14:textId="4133CB0C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B-III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14:paraId="23D4EDE5" w14:textId="37E3DEEE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pct"/>
            <w:shd w:val="clear" w:color="auto" w:fill="auto"/>
            <w:noWrap/>
            <w:vAlign w:val="center"/>
          </w:tcPr>
          <w:p w14:paraId="3AB726CF" w14:textId="4D1F6C21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0,895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1F58AB04" w14:textId="18D17F13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0,645</w:t>
            </w:r>
          </w:p>
        </w:tc>
        <w:tc>
          <w:tcPr>
            <w:tcW w:w="598" w:type="pct"/>
            <w:shd w:val="clear" w:color="auto" w:fill="auto"/>
            <w:noWrap/>
            <w:vAlign w:val="center"/>
          </w:tcPr>
          <w:p w14:paraId="27A58DCC" w14:textId="68BA26DC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0,764</w:t>
            </w:r>
          </w:p>
        </w:tc>
        <w:tc>
          <w:tcPr>
            <w:tcW w:w="607" w:type="pct"/>
            <w:shd w:val="clear" w:color="auto" w:fill="auto"/>
            <w:noWrap/>
            <w:vAlign w:val="center"/>
          </w:tcPr>
          <w:p w14:paraId="153DA0AE" w14:textId="530097BA" w:rsidR="00D2765E" w:rsidRPr="00D2765E" w:rsidRDefault="00D2765E" w:rsidP="00D276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0,385</w:t>
            </w:r>
          </w:p>
        </w:tc>
        <w:tc>
          <w:tcPr>
            <w:tcW w:w="1128" w:type="pct"/>
            <w:shd w:val="clear" w:color="auto" w:fill="auto"/>
            <w:noWrap/>
            <w:vAlign w:val="center"/>
          </w:tcPr>
          <w:p w14:paraId="7849F751" w14:textId="1CC74F7B" w:rsidR="00D2765E" w:rsidRPr="00D2765E" w:rsidRDefault="00D2765E" w:rsidP="00D276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76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14:paraId="02F8B658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расчета дебита нефти проектных добывающих скважин в рамках настоящего отчета применена формула Дюпюи расчета фактической продуктивности несовершенной скважины, которая при расчете дебитов нефти новых скважин опирается на фильтрационно-емкостные свойства коллекторов, физико-химические свойства пластовых флюидов и продуктивность скважин, полученную при проведении ГДИС:</w:t>
      </w:r>
    </w:p>
    <w:p w14:paraId="1A780E09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F2E5D" w14:textId="0392CC0C" w:rsidR="006B740B" w:rsidRPr="007607C8" w:rsidRDefault="006B740B" w:rsidP="007607C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43B57D" wp14:editId="2796344F">
            <wp:extent cx="1428750" cy="461010"/>
            <wp:effectExtent l="0" t="0" r="0" b="0"/>
            <wp:docPr id="17" name="Рисунок 17" descr="J:\Рабочий стол\IMG_02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J:\Рабочий стол\IMG_0256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</w:t>
      </w:r>
      <w:r w:rsidR="00E04579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04579"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.19)</w:t>
      </w:r>
    </w:p>
    <w:p w14:paraId="63626E04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36D30" w14:textId="77777777" w:rsidR="006B740B" w:rsidRPr="007607C8" w:rsidRDefault="006B740B" w:rsidP="007607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k – проницаемость,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мД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h – мощность интервала перфорации, м;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Rk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радиус контура, м; </w:t>
      </w:r>
      <w:proofErr w:type="spellStart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>rc</w:t>
      </w:r>
      <w:proofErr w:type="spellEnd"/>
      <w:r w:rsidRPr="00760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радиус скважины, м; S – скин-фактор, доли ед.; B – коэффициент объемного расширения, доли ед., для пересчета объема жидкости из поверхностных в пластовые условия. Расчеты и результаты по определению дебита нефти проектных скважин представлены в таблице 3.5.4. Средние значения проницаемости и скин-фактора по объектам взяты по результатам ГДИС. Физико-химические свойства нефти взяты по результатам лабораторных исследований поверхностных и пластовых проб нефти. Оптимальная депрессия для проектных скважин рассчитана по результатам проведения ГДИС и на основе фактических показателей эксплуатации уже пробуренных добывающих скважин.</w:t>
      </w:r>
    </w:p>
    <w:sectPr w:rsidR="006B740B" w:rsidRPr="007607C8" w:rsidSect="006634D6">
      <w:headerReference w:type="default" r:id="rId30"/>
      <w:footerReference w:type="default" r:id="rId31"/>
      <w:pgSz w:w="11906" w:h="16838"/>
      <w:pgMar w:top="1134" w:right="850" w:bottom="1134" w:left="1701" w:header="851" w:footer="708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C738" w14:textId="77777777" w:rsidR="00CD710C" w:rsidRDefault="00CD710C" w:rsidP="006B740B">
      <w:pPr>
        <w:spacing w:after="0" w:line="240" w:lineRule="auto"/>
      </w:pPr>
      <w:r>
        <w:separator/>
      </w:r>
    </w:p>
  </w:endnote>
  <w:endnote w:type="continuationSeparator" w:id="0">
    <w:p w14:paraId="321089C8" w14:textId="77777777" w:rsidR="00CD710C" w:rsidRDefault="00CD710C" w:rsidP="006B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3034" w14:textId="4EEA654D" w:rsidR="006B740B" w:rsidRPr="006B740B" w:rsidRDefault="0057786E" w:rsidP="006B740B">
    <w:pPr>
      <w:pStyle w:val="a6"/>
      <w:pBdr>
        <w:top w:val="single" w:sz="4" w:space="1" w:color="auto"/>
      </w:pBdr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ДОПОЛНЕНИЕ К ПРОЕКТУ РАЗРАБОТКИ</w:t>
    </w:r>
    <w:r w:rsidR="006B740B" w:rsidRPr="006B740B">
      <w:rPr>
        <w:rFonts w:ascii="Times New Roman" w:hAnsi="Times New Roman" w:cs="Times New Roman"/>
        <w:sz w:val="14"/>
        <w:szCs w:val="14"/>
      </w:rPr>
      <w:t xml:space="preserve"> НЕФТИ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9C95" w14:textId="77777777" w:rsidR="00CD710C" w:rsidRDefault="00CD710C" w:rsidP="006B740B">
      <w:pPr>
        <w:spacing w:after="0" w:line="240" w:lineRule="auto"/>
      </w:pPr>
      <w:r>
        <w:separator/>
      </w:r>
    </w:p>
  </w:footnote>
  <w:footnote w:type="continuationSeparator" w:id="0">
    <w:p w14:paraId="6DFD9EFD" w14:textId="77777777" w:rsidR="00CD710C" w:rsidRDefault="00CD710C" w:rsidP="006B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5678C" w14:textId="77777777" w:rsidR="007607C8" w:rsidRPr="007607C8" w:rsidRDefault="007607C8" w:rsidP="006634D6">
    <w:pPr>
      <w:framePr w:h="241" w:hRule="exact" w:wrap="around" w:vAnchor="text" w:hAnchor="page" w:x="11146" w:y="-25"/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7607C8">
      <w:rPr>
        <w:rFonts w:ascii="Times New Roman" w:hAnsi="Times New Roman" w:cs="Times New Roman"/>
        <w:sz w:val="20"/>
        <w:szCs w:val="20"/>
      </w:rPr>
      <w:fldChar w:fldCharType="begin"/>
    </w:r>
    <w:r w:rsidRPr="007607C8">
      <w:rPr>
        <w:rFonts w:ascii="Times New Roman" w:hAnsi="Times New Roman" w:cs="Times New Roman"/>
        <w:sz w:val="20"/>
        <w:szCs w:val="20"/>
      </w:rPr>
      <w:instrText xml:space="preserve">PAGE  </w:instrText>
    </w:r>
    <w:r w:rsidRPr="007607C8">
      <w:rPr>
        <w:rFonts w:ascii="Times New Roman" w:hAnsi="Times New Roman" w:cs="Times New Roman"/>
        <w:sz w:val="20"/>
        <w:szCs w:val="20"/>
      </w:rPr>
      <w:fldChar w:fldCharType="separate"/>
    </w:r>
    <w:r w:rsidRPr="007607C8">
      <w:rPr>
        <w:rFonts w:ascii="Times New Roman" w:hAnsi="Times New Roman" w:cs="Times New Roman"/>
      </w:rPr>
      <w:t>81</w:t>
    </w:r>
    <w:r w:rsidRPr="007607C8">
      <w:rPr>
        <w:rFonts w:ascii="Times New Roman" w:hAnsi="Times New Roman" w:cs="Times New Roman"/>
        <w:sz w:val="20"/>
        <w:szCs w:val="20"/>
      </w:rPr>
      <w:fldChar w:fldCharType="end"/>
    </w:r>
  </w:p>
  <w:p w14:paraId="362B3E7C" w14:textId="7276AE2F" w:rsidR="006B740B" w:rsidRPr="006B740B" w:rsidRDefault="006B740B" w:rsidP="006B740B">
    <w:pPr>
      <w:pBdr>
        <w:bottom w:val="single" w:sz="4" w:space="1" w:color="auto"/>
      </w:pBd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14"/>
        <w:szCs w:val="14"/>
      </w:rPr>
    </w:pPr>
    <w:r w:rsidRPr="006B740B">
      <w:rPr>
        <w:rFonts w:ascii="Times New Roman" w:hAnsi="Times New Roman" w:cs="Times New Roman"/>
        <w:sz w:val="14"/>
        <w:szCs w:val="14"/>
      </w:rPr>
      <w:t xml:space="preserve">ПОДГОТОВКА ГЕОЛОГО-ПРОМЫСЛОВОЙ И ТЕХНИКО-ЭКОНОМИЧЕКОЙ ОСНОВЫ ДЛЯ </w:t>
    </w:r>
    <w:r w:rsidR="0057786E">
      <w:rPr>
        <w:rFonts w:ascii="Times New Roman" w:hAnsi="Times New Roman" w:cs="Times New Roman"/>
        <w:sz w:val="14"/>
        <w:szCs w:val="14"/>
      </w:rPr>
      <w:t>ПРОЕКТИРОВАНИЯ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DC"/>
    <w:rsid w:val="002A0BFB"/>
    <w:rsid w:val="002E35DC"/>
    <w:rsid w:val="0031128A"/>
    <w:rsid w:val="004F2D6B"/>
    <w:rsid w:val="0057786E"/>
    <w:rsid w:val="00641947"/>
    <w:rsid w:val="006634D6"/>
    <w:rsid w:val="006A045A"/>
    <w:rsid w:val="006B740B"/>
    <w:rsid w:val="0074342D"/>
    <w:rsid w:val="007607C8"/>
    <w:rsid w:val="007E4F91"/>
    <w:rsid w:val="00870BF7"/>
    <w:rsid w:val="009958B1"/>
    <w:rsid w:val="009A3C1F"/>
    <w:rsid w:val="00CD710C"/>
    <w:rsid w:val="00CF3568"/>
    <w:rsid w:val="00D2765E"/>
    <w:rsid w:val="00DE17B9"/>
    <w:rsid w:val="00E0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D9F7BF"/>
  <w15:chartTrackingRefBased/>
  <w15:docId w15:val="{FF46AF97-B5DF-4A1E-82CD-F95AFF21D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40B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B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740B"/>
  </w:style>
  <w:style w:type="paragraph" w:styleId="a6">
    <w:name w:val="footer"/>
    <w:aliases w:val="Title Down,Footer_ARGOSS, Знак Знак,Знак Знак"/>
    <w:basedOn w:val="a"/>
    <w:link w:val="a7"/>
    <w:uiPriority w:val="99"/>
    <w:unhideWhenUsed/>
    <w:rsid w:val="006B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aliases w:val="Title Down Знак,Footer_ARGOSS Знак, Знак Знак Знак,Знак Знак Знак"/>
    <w:basedOn w:val="a0"/>
    <w:link w:val="a6"/>
    <w:uiPriority w:val="99"/>
    <w:rsid w:val="006B7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microsoft.com/office/2007/relationships/hdphoto" Target="media/hdphoto3.wdp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microsoft.com/office/2007/relationships/hdphoto" Target="media/hdphoto1.wdp"/><Relationship Id="rId25" Type="http://schemas.microsoft.com/office/2007/relationships/hdphoto" Target="media/hdphoto5.wdp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microsoft.com/office/2007/relationships/hdphoto" Target="media/hdphoto4.wdp"/><Relationship Id="rId28" Type="http://schemas.openxmlformats.org/officeDocument/2006/relationships/image" Target="media/image17.wmf"/><Relationship Id="rId10" Type="http://schemas.openxmlformats.org/officeDocument/2006/relationships/oleObject" Target="embeddings/oleObject1.bin"/><Relationship Id="rId19" Type="http://schemas.microsoft.com/office/2007/relationships/hdphoto" Target="media/hdphoto2.wdp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image" Target="media/image16.wmf"/><Relationship Id="rId30" Type="http://schemas.openxmlformats.org/officeDocument/2006/relationships/header" Target="header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Мұратова Айнұр Мұратқызы</dc:creator>
  <cp:keywords/>
  <dc:description/>
  <cp:lastModifiedBy>Чинтасова Гүлсая Мақсотқызы</cp:lastModifiedBy>
  <cp:revision>13</cp:revision>
  <dcterms:created xsi:type="dcterms:W3CDTF">2024-07-16T04:37:00Z</dcterms:created>
  <dcterms:modified xsi:type="dcterms:W3CDTF">2024-11-01T06:36:00Z</dcterms:modified>
</cp:coreProperties>
</file>